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a12b.htm"/>
      <w:bookmarkStart w:id="1" w:name="ksform8a12b"/>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REGISTRATION OF CERTAIN CLASSES OF SECURITIES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12(b) OR 12(g)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BRADBURY CAPITAL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5470" w:type="dxa"/>
        <w:jc w:val="left"/>
        <w:tblInd w:w="0" w:type="dxa"/>
        <w:tblLayout w:type="fixed"/>
        <w:tblCellMar>
          <w:top w:w="0" w:type="dxa"/>
          <w:left w:w="0" w:type="dxa"/>
          <w:bottom w:w="28" w:type="dxa"/>
          <w:right w:w="0" w:type="dxa"/>
        </w:tblCellMar>
      </w:tblPr>
      <w:tblGrid>
        <w:gridCol w:w="4490"/>
        <w:gridCol w:w="60"/>
        <w:gridCol w:w="920"/>
      </w:tblGrid>
      <w:tr>
        <w:trPr/>
        <w:tc>
          <w:tcPr>
            <w:tcW w:w="449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L5-07 Level 5, Wisma BU8, No. 11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Lebuh Bandar Utama</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Bandar Utama, 47800 Petaling Jaya Selangor Malaysia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r>
      <w:tr>
        <w:trPr/>
        <w:tc>
          <w:tcPr>
            <w:tcW w:w="4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to be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15"/>
        <w:gridCol w:w="60"/>
        <w:gridCol w:w="2430"/>
      </w:tblGrid>
      <w:tr>
        <w:trPr/>
        <w:tc>
          <w:tcPr>
            <w:tcW w:w="77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registered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3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class is to be registered</w:t>
            </w:r>
          </w:p>
        </w:tc>
      </w:tr>
      <w:tr>
        <w:trPr/>
        <w:tc>
          <w:tcPr>
            <w:tcW w:w="7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$0.0001 par value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3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r>
        <w:trPr/>
        <w:tc>
          <w:tcPr>
            <w:tcW w:w="77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warrants, each whole warrant exercisable for one ordinary share at an exercise price of $11.50 per share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3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12(b) of the Exchange Act and is effective pursuant to General Instruction A.(c) or (e),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12(g) of the Exchange Act and is effective pursuant to General Instruction A.(d) or (e),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concurrently with a Regulation A offering,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Act registration statement file number to which this form relates: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333-273624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to be registered pursuant to Section 12(g) of the Act: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Description of Registrant’s Securities to be Registered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The securities to be registered hereby are ordinary shares, par value $0.0001 per share, and redeemable warrants to purchase ordinary shares of Bradbury Capital Inc., a Cayman Islands exempted company (the “Registrant”). The description of the ordinary shares and the redeemable warrants (each whole warrant exercisable for one ordinary share at an exercise price of $11.50) of Registrant, as set forth under the caption “Description of Securities” in the prospectus forming a part of the Registration Statement on </w:t>
      </w:r>
      <w:hyperlink r:id="rId2">
        <w:r>
          <w:rPr>
            <w:rStyle w:val="InternetLink"/>
            <w:rFonts w:ascii="Times New Roman;Times;Serif" w:hAnsi="Times New Roman;Times;Serif"/>
            <w:b w:val="false"/>
            <w:i w:val="false"/>
            <w:caps w:val="false"/>
            <w:smallCaps w:val="false"/>
            <w:sz w:val="20"/>
          </w:rPr>
          <w:t>Form F-4</w:t>
        </w:r>
      </w:hyperlink>
      <w:r>
        <w:rPr>
          <w:rFonts w:ascii="Times New Roman;Times;Serif" w:hAnsi="Times New Roman;Times;Serif"/>
          <w:b w:val="false"/>
          <w:i w:val="false"/>
          <w:caps w:val="false"/>
          <w:smallCaps w:val="false"/>
          <w:sz w:val="20"/>
        </w:rPr>
        <w:t>, as originally filed with the Securities and Exchange Commission (the “Commission”) on August 2, 2023 (Registration No. 333-273624), including exhibits, and as subsequently amended from time to time (the “Registration Statement”), is hereby incorporated by reference. In addition, the above-referenced description included in any prospectus relating to the Registration Statement filed with the Commission pursuant to Rule 424(b) under the Securities Act of 1933, as amended, or any prospectus supplement shall be deemed to be incorporated by reference herein.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Instructions as to Exhibits for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12 of the Securities Exchange Act of 1934, the registrant has duly caused this registration statement to be signed on its behalf by the undersigned, thereto duly authorized.</w:t>
      </w:r>
    </w:p>
    <w:p>
      <w:pPr>
        <w:pStyle w:val="TextBody"/>
        <w:bidi w:val="0"/>
        <w:spacing w:before="0" w:after="0"/>
        <w:ind w:left="0" w:right="0" w:firstLine="720"/>
        <w:jc w:val="both"/>
        <w:rPr>
          <w:caps w:val="false"/>
          <w:smallCaps w:val="false"/>
        </w:rPr>
      </w:pPr>
      <w:r>
        <w:rPr>
          <w:caps w:val="false"/>
          <w:smallCaps w:val="false"/>
        </w:rPr>
        <w:t> </w:t>
      </w:r>
    </w:p>
    <w:tbl>
      <w:tblPr>
        <w:tblW w:w="4320" w:type="dxa"/>
        <w:jc w:val="left"/>
        <w:tblInd w:w="0" w:type="dxa"/>
        <w:tblLayout w:type="fixed"/>
        <w:tblCellMar>
          <w:top w:w="0" w:type="dxa"/>
          <w:left w:w="0" w:type="dxa"/>
          <w:bottom w:w="0" w:type="dxa"/>
          <w:right w:w="0" w:type="dxa"/>
        </w:tblCellMar>
      </w:tblPr>
      <w:tblGrid>
        <w:gridCol w:w="1820"/>
        <w:gridCol w:w="545"/>
        <w:gridCol w:w="1955"/>
      </w:tblGrid>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6, 2026</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BRADBURY CAPITAL INC.</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Loo See Yuen</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 See Yuen</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86694/000149315223026468/formf-4.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546</Words>
  <Characters>2931</Characters>
  <CharactersWithSpaces>3470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