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333-273624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TETE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495"/>
        <w:gridCol w:w="60"/>
        <w:gridCol w:w="2375"/>
        <w:gridCol w:w="60"/>
        <w:gridCol w:w="189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6770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(Primary Standard Industrial </w:t>
              <w:b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&amp; Telecommunication Acquisition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C3-2-23A, Jalan 1/152, Taman OUG Parklane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Jalan Kelang Lama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58200 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 Donald J. Puglisi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 19711</w:t>
        <w:br/>
        <w:t>Telephone: 302-738-6680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tbl>
      <w:tblPr>
        <w:tblW w:w="5995" w:type="dxa"/>
        <w:jc w:val="left"/>
        <w:tblInd w:w="0" w:type="dxa"/>
        <w:tblLayout w:type="fixed"/>
        <w:tblCellMar>
          <w:top w:w="0" w:type="dxa"/>
          <w:left w:w="0" w:type="dxa"/>
          <w:bottom w:w="0" w:type="dxa"/>
          <w:right w:w="0" w:type="dxa"/>
        </w:tblCellMar>
      </w:tblPr>
      <w:tblGrid>
        <w:gridCol w:w="2375"/>
        <w:gridCol w:w="60"/>
        <w:gridCol w:w="3560"/>
      </w:tblGrid>
      <w:tr>
        <w:trPr/>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Mitchell S. Nussbaum,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10154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407-4000</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Jenny Chen-Drake,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Law Offices of Jenny Chen-Drake</w:t>
              <w:br/>
              <w:t>1441 New Highway 96 West, Suite 2, #123</w:t>
              <w:br/>
              <w:t>Franklin, Tennessee 37064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(310) 358-0880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 As soon as practicable after this Registration Statement becomes effective and after all conditions under the Merger Agreement are satisfied or waived.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r>
        <w:rPr>
          <w:rFonts w:ascii="Times New Roman;Times;Serif" w:hAnsi="Times New Roman;Times;Serif"/>
          <w:b/>
          <w:i w:val="false"/>
          <w:caps w:val="false"/>
          <w:smallCaps w:val="false"/>
          <w:sz w:val="20"/>
        </w:rPr>
        <w:t>333-273624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13e-4(i) (Cross-Border Issuer Tender Offer)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14d-1(d) (Cross-Border Third-Party Tender Offer)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Post-Effective Amendment No. 1 shall become effective upon filing with the Securities and Exchange Commission in accordance with Rule 462(d) under the Securities Act of 1933, as amended.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filing this Post-Effective Amendment No. 1 to the Registration Statement on Form F-4 of TETE Technologies Inc (Registration No. 333-273624), which was initially filed with the Securities and Exchange Commission (the “Commission”) on August 2, 2023 (as amended prior to the date hereof, the “Registration Statement”), pursuant to Rule 462(d) of the Securities Act of 1933, as amended, for the sole purpose of correcting a scrivener’s error in Exhibit 107 to the Registration Statement. Accordingly, this Post-Effective Amendment consists only of the facing page, this explanatory note, Part II of the Registration Statement, the signature pages and revised Exhibit 107. No additional securities are being registered hereby.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Post-Effective Amendment does not modify any provision of the proxy statement/prospectus included in Part I of the Registration Statement, which remains unchanged from the final proxy statement/prospectus filed on March 23, 2026, and such proxy statement/prospectus has therefore been omitted. This Post-Effective Amendment shall become effective immediately upon filing with the Commission.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PubCo’s Amended and Restated Memorandum and Articles of Association provide that, subject to the provisions of the Cayman Islands laws, each existing or former secretary, director (including alternate director) and other officer of PubCo (including an investment adviser, or an administrator or liquidator) and their personal representatives, will be entitled to indemnification from PubCo against all actions, proceedings, costs, charges, expenses, losses, damages or liabilities incurred or sustained by such person in or about the conduct of the Company’s business or affairs or in the execution or discharge of the person’s duties, powers, authorities or discretions, and without limitation to the foregoing,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Cayman Islands or elsewhere. No such existing or former Secretary, director (including alternate director), and other Officer of the Company (including an investment adviser or an administrator or liquidator) and their personal representatives however shall be indemnified in respect of any matter arising out of his own actual fraud, willful default or willful neglect.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21.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0"/>
        <w:gridCol w:w="60"/>
        <w:gridCol w:w="9175"/>
      </w:tblGrid>
      <w:tr>
        <w:trPr/>
        <w:tc>
          <w:tcPr>
            <w:tcW w:w="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"https://www.sec.gov/Archives/edgar/data/1986694/000149315224002939/formf-4a.htm" \l "annexa_001"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Agreement and Plan of Merger, dated August 2, 2023 (included as Annex A-1 to this proxy statement/prospectus)</w:t>
            </w:r>
            <w:r>
              <w:rPr>
                <w:rStyle w:val="InternetLink"/>
                <w:smallCaps w:val="false"/>
                <w:caps w:val="false"/>
                <w:sz w:val="20"/>
                <w:i w:val="false"/>
                <w:b w:val="false"/>
                <w:rFonts w:ascii="Times New Roman;Times;Serif" w:hAnsi="Times New Roman;Times;Serif"/>
              </w:rPr>
              <w:fldChar w:fldCharType="end"/>
            </w:r>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TETE Amended and Restated Memorandum and Articles of Association (incorporated by reference to exhibit 3.1 to the Current Report on Form 8-K filed by TETE on January 24, 2025)</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Incorporation of TETE TECHNOLOGIES INC</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Memorandum and Articles of Association of TETE TECHNOLOGIES INC</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"https://www.sec.gov/Archives/edgar/data/1986694/000149315226009397/formf-4a.htm" \l "annexb_001"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Amended and Restated Memorandum and Articles of Association of TETE TECHNOLOGIES INC (included as Annex B to this proxy statement/prospectus)</w:t>
            </w:r>
            <w:r>
              <w:rPr>
                <w:rStyle w:val="InternetLink"/>
                <w:smallCaps w:val="false"/>
                <w:caps w:val="false"/>
                <w:sz w:val="20"/>
                <w:i w:val="false"/>
                <w:b w:val="false"/>
                <w:rFonts w:ascii="Times New Roman;Times;Serif" w:hAnsi="Times New Roman;Times;Serif"/>
              </w:rPr>
              <w:fldChar w:fldCharType="end"/>
            </w:r>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Specimen TETE Unit Certificate (incorporated by reference to exhibit 4.1 to the Registration Statement on Form S-1 filed by TETE on January 7,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Specimen TETE Ordinary Share Certificate (incorporated by reference to exhibit 4.2 to the Registration Statement on Form S-1 filed by TETE on January 7,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Specimen TETE Warrant Certificate (incorporated by reference to exhibit 4.3 to the Registration Statement on Form S-1 filed by TETE on January 7,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Warrant Agreement, dated January 14, 2022, by and between Continental Stock Transfer &amp; Trust Company and the Registrant (incorporated by reference to exhibit 4.4 to the Current Report on Form 8-K filed by TETE on January 24,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Specimen of PubCo Ordinary Shares</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Opinion of Ogier (Cayman) LLP as to Validity of PubCo Ordinary Shares</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Tax Opinion of Loeb &amp; Loeb LLP.</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Letter Agreement, dated January 14, 2022, among the Registrant and the Registrant’s Sponsor, Officers and Directors (incorporated by reference to exhibit 10.4 to the Current Report on Form 8-K filed by TETE on January 24,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Investment Management Trust Account Agreement, dated January 14, 2022, by and between Continental Stock Transfer &amp; Trust Company and the Registrant (incorporated by reference to exhibit 10.1 to the Current Report on Form 8-K filed by TETE on January 24,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Placement Unit Purchase Agreement, dated January 14, 2022, by and between TETE and the Sponsor (incorporated by reference to exhibit 10.3 to the Current Report on Form 8-K filed by TETE on January 24,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Registration Rights Agreement, dated January 14, 2022, among the Registrant, Continental Stock Transfer &amp; Trust Company and the initial shareholders (incorporated by reference to exhibit 10.2 to the Current Report on Form 8-K filed by TETE on January 24, 2022)</w:t>
              </w:r>
            </w:hyperlink>
          </w:p>
        </w:tc>
      </w:tr>
      <w:tr>
        <w:trPr/>
        <w:tc>
          <w:tcPr>
            <w:tcW w:w="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Company Shareholder Support Agreement, dated October 19, 2022, by and among Technology &amp; Telecommunication Acquisition Corporation, certain shareholders of Super Apps Holdings Sdn Bhd and Super Apps Holdings Sdn Bhd</w:t>
              </w:r>
            </w:hyperlink>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9"/>
        <w:gridCol w:w="82"/>
        <w:gridCol w:w="9584"/>
      </w:tblGrid>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Parent Shareholder Support Agreement, dated October 19, 2022, by and between Super Apps Holdings Sdn Bhd, certain shareholders of Technology &amp; Telecommunication Acquisition Corporation and Technology &amp; Telecommunication Acquisition Corporation</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Lock-Up Agreement (incorporated by reference to exhibit 10.3 to the Current Report on Form 8-K filed by TETE on October 19, 2022)</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Voting Agreement (incorporated by reference to exhibit 10.4 to the Current Report on Form 8-K filed by TETE on October 19, 2022)</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Employment Agreement between PubCo and PubCo’s executive officers (incorporated by reference to exhibit 10.5 to the Current Report on Form 8-K filed by TETE on October 19, 2022)</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Non-Competition and Non-Solicitation Agreement (incorporated by reference to exhibit 10.6 to the Current Report on Form 8-K filed by TETE on October 19, 2022)</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Share Sale Agreement, dated October 19, 2022, by and between Super Apps and MobilityOne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Collaboration Agreement, dated October 19, 2022, by and between Super Apps and MyIsCo Sdn Bhd</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Joint Venture Agreement, dated October 19, 2022, by and between Super Apps and MobilityOne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Software License Agreement by and between OneShop Retail and MobilityOne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Third Party Acquirer e-Debit Scheme Agreement, dated March 10, 2008, by and between MobilityOne Sdn Bhd and Malaysian Electronic Payment System (1997) Sdn Bhd. (now known as MyDebit PayNet)*</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Processing Services Agreement, effective April 29, 2021, by and between MobilityOne Sdn Bhd and Mastercard Asia/Pacific Pte. Limited, a Singapore corporation*</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International Money Transfer Agreement, effective September 23, 2020, by and between OneTransfer Remittance Sdn Bhd and MoneyGram Payment Systems, Inc.*</w:t>
              </w:r>
            </w:hyperlink>
            <w:r>
              <w:rPr>
                <w:rFonts w:ascii="Times New Roman;Times;Serif" w:hAnsi="Times New Roman;Times;Serif"/>
                <w:b w:val="false"/>
                <w:i w:val="false"/>
                <w:caps w:val="false"/>
                <w:smallCaps w:val="false"/>
                <w:sz w:val="20"/>
              </w:rPr>
              <w:t xml:space="preserve"> </w:t>
            </w:r>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White Label Agreement, dated February 10, 2022, by and between MobilityOne Sdn Bhd and TFP Solutions Berhad*</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Amendment to the Investment Management Trust Agreement, dated January 20, 2025, by and between TETE and Continental Stock Transfer &amp; Trust Company (incorporated by reference to exhibit 10.1 to the Current Report on Form 8-K filed by TETE on January 24, 2025).</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Non-Redemption Agreement, dated January 20, 2025, by and between TETE and the investors named therein (incorporated by reference to exhibit 10.2 to the Current Report on Form 8-K filed by TETE on January 24, 2025)</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Non-Redemption Agreement, dated April 14, 2025, by and between TETE and the investors named therein (incorporated by reference to exhibit 10.1 to the Current Report on Form 8-K filed by TETE on April 16, 2025)</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PIPE Subscription Agreement</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PIPE Subscription Agreement, dated February 27, 2025, by and among TETE, Bradbury Capital Holdings Inc., and Bradbury Private Equity Fund 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Supplemental Agreement, dated February 29, 2024, by and between MobilityOne Sdn. Bhd. And Super Apps Holdings Sdn. Bhd.</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Confirmation Letter dated September 22, 2025, from MobilityOne Sdn Bhd.</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Code of Ethics (incorporated by reference to exhibit 14 to the Registration Statement on Form S-1 filed by TETE on January 7, 2022)</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Consent of MaloneBailey, LLP, independent public accounting firm for PubCo</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Consent of MaloneBailey, LLP, independent public accounting firm for TETE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Consent of UHY Malaysia PLT</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Consent of Ogier (Cayman) LLP (included in Exhibit 5.1)</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Consent of Loeb &amp; Loeb LLP (included in Exhibit 8.1)</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of Chow Wing Loke (PubCo’s director nominee)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Consent of Alan Fung (PubCo’s director nominee)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Consent of Virginia Jaqveline Cha (PubCo’s director nominee)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Consent of Soon Chong Seng (PubCo’s director nominee)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Consent of Loo See Yuen (PubCo’s director nominee)</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99.6* </w:t>
            </w:r>
          </w:p>
        </w:tc>
        <w:tc>
          <w:tcPr>
            <w:tcW w:w="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584"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 xml:space="preserve">Representations Made Pursuant to Instruction 2 to Item 8.A.4 of Form 20-F </w:t>
              </w:r>
            </w:hyperlink>
          </w:p>
        </w:tc>
      </w:tr>
      <w:tr>
        <w:trPr/>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584"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Calculation of 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exhibits and schedules to this Exhibit have been omitted in accordance with Regulation S-K Item 601. The Registrant agrees to furnish a copy of all omitted exhibits and schedules to the SEC upon its request.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22. Undertakings</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hereby undertakes: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 post-effective amendment to the registration statement to include any financial statements required by Item 8.A of Form 20-F at the start of any delayed offering or throughout a continuous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hereby undertakes: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prior to any public reoffering of the securities registered hereunder through use of a prospectus which is a part of this registration statement, by any person or party who is deemed to be an underwriter within the meaning of Rule 145(c),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this Form F-4 and has duly caused this Post-Effective Amendment No.1 to the Registration Statement to be signed on its behalf by the undersigned, thereunto duly authorized, in Cayman Islands, on October 6, 2026.</w:t>
      </w:r>
    </w:p>
    <w:p>
      <w:pPr>
        <w:pStyle w:val="TextBody"/>
        <w:bidi w:val="0"/>
        <w:spacing w:before="0" w:after="0"/>
        <w:ind w:left="0" w:right="0" w:firstLine="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545"/>
        <w:gridCol w:w="6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9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TETE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9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Tek Che 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Tek Che 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and principal accounting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Post-Effective Amendment No.1 to the Registration Statement has been signed by the following person on October 6, 2026 in the capacities indicated.</w:t>
      </w:r>
    </w:p>
    <w:p>
      <w:pPr>
        <w:pStyle w:val="TextBody"/>
        <w:bidi w:val="0"/>
        <w:spacing w:before="0" w:after="0"/>
        <w:ind w:left="0" w:right="0" w:firstLine="720"/>
        <w:jc w:val="both"/>
        <w:rPr>
          <w:caps w:val="false"/>
          <w:smallCaps w:val="false"/>
        </w:rPr>
      </w:pPr>
      <w:r>
        <w:rPr>
          <w:caps w:val="false"/>
          <w:smallCaps w:val="false"/>
        </w:rPr>
        <w:t> </w:t>
      </w:r>
    </w:p>
    <w:tbl>
      <w:tblPr>
        <w:tblW w:w="7825" w:type="dxa"/>
        <w:jc w:val="left"/>
        <w:tblInd w:w="0" w:type="dxa"/>
        <w:tblLayout w:type="fixed"/>
        <w:tblCellMar>
          <w:top w:w="0" w:type="dxa"/>
          <w:left w:w="0" w:type="dxa"/>
          <w:bottom w:w="28" w:type="dxa"/>
          <w:right w:w="0" w:type="dxa"/>
        </w:tblCellMar>
      </w:tblPr>
      <w:tblGrid>
        <w:gridCol w:w="1220"/>
        <w:gridCol w:w="60"/>
        <w:gridCol w:w="6545"/>
      </w:tblGrid>
      <w:tr>
        <w:trPr/>
        <w:tc>
          <w:tcPr>
            <w:tcW w:w="12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Tek Che 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12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Tek Che 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has signed this Post-Effective Amendment No.1 to the Registration Statement on Form F-4 in Newark, Delaware on October 6, 2026.</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545"/>
        <w:gridCol w:w="17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Donald J. Puglisi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J. Puglisi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ex107.htm"/>
      <w:bookmarkStart w:id="3" w:name="ksex107"/>
      <w:bookmarkStart w:id="4" w:name="ex107.htm"/>
      <w:bookmarkStart w:id="5" w:name="ksex107"/>
      <w:bookmarkEnd w:id="4"/>
      <w:bookmarkEnd w:id="5"/>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F-4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Bradbury Capital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84" w:type="dxa"/>
        <w:jc w:val="left"/>
        <w:tblInd w:w="0" w:type="dxa"/>
        <w:tblLayout w:type="fixed"/>
        <w:tblCellMar>
          <w:top w:w="28" w:type="dxa"/>
          <w:left w:w="28" w:type="dxa"/>
          <w:bottom w:w="28" w:type="dxa"/>
          <w:right w:w="28" w:type="dxa"/>
        </w:tblCellMar>
      </w:tblPr>
      <w:tblGrid>
        <w:gridCol w:w="1126"/>
        <w:gridCol w:w="226"/>
        <w:gridCol w:w="946"/>
        <w:gridCol w:w="1561"/>
        <w:gridCol w:w="1276"/>
        <w:gridCol w:w="1186"/>
        <w:gridCol w:w="1156"/>
        <w:gridCol w:w="178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5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5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5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2,976,709 </w:t>
            </w:r>
          </w:p>
        </w:tc>
        <w:tc>
          <w:tcPr>
            <w:tcW w:w="1156" w:type="dxa"/>
            <w:tcBorders/>
            <w:shd w:fill="E7E7E2" w:val="clear"/>
            <w:vAlign w:val="center"/>
          </w:tcPr>
          <w:p>
            <w:pPr>
              <w:pStyle w:val="TableContents"/>
              <w:bidi w:val="0"/>
              <w:spacing w:before="0" w:after="283"/>
              <w:jc w:val="right"/>
              <w:rPr/>
            </w:pPr>
            <w:r>
              <w:rPr/>
              <w:t xml:space="preserve">$ 10.00 </w:t>
            </w:r>
          </w:p>
        </w:tc>
        <w:tc>
          <w:tcPr>
            <w:tcW w:w="1786" w:type="dxa"/>
            <w:tcBorders/>
            <w:shd w:fill="E7E7E2" w:val="clear"/>
            <w:vAlign w:val="center"/>
          </w:tcPr>
          <w:p>
            <w:pPr>
              <w:pStyle w:val="TableContents"/>
              <w:bidi w:val="0"/>
              <w:spacing w:before="0" w:after="283"/>
              <w:jc w:val="right"/>
              <w:rPr/>
            </w:pPr>
            <w:r>
              <w:rPr/>
              <w:t xml:space="preserve">$ 29,767,090.00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$ 3,280.33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561" w:type="dxa"/>
            <w:tcBorders/>
            <w:shd w:fill="E7E7E2" w:val="clear"/>
            <w:vAlign w:val="center"/>
          </w:tcPr>
          <w:p>
            <w:pPr>
              <w:pStyle w:val="TableContents"/>
              <w:bidi w:val="0"/>
              <w:spacing w:before="0" w:after="283"/>
              <w:jc w:val="left"/>
              <w:rPr/>
            </w:pPr>
            <w:r>
              <w:rPr/>
              <w:t xml:space="preserve">Warrants to be issued to Warrantholders of TETE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11,500,000 </w:t>
            </w:r>
          </w:p>
        </w:tc>
        <w:tc>
          <w:tcPr>
            <w:tcW w:w="1156" w:type="dxa"/>
            <w:tcBorders/>
            <w:shd w:fill="E7E7E2" w:val="clear"/>
            <w:vAlign w:val="center"/>
          </w:tcPr>
          <w:p>
            <w:pPr>
              <w:pStyle w:val="TableContents"/>
              <w:bidi w:val="0"/>
              <w:spacing w:before="0" w:after="283"/>
              <w:jc w:val="right"/>
              <w:rPr/>
            </w:pPr>
            <w:r>
              <w:rPr/>
              <w:t xml:space="preserve">$ 0.0399 </w:t>
            </w:r>
          </w:p>
        </w:tc>
        <w:tc>
          <w:tcPr>
            <w:tcW w:w="1786" w:type="dxa"/>
            <w:tcBorders/>
            <w:shd w:fill="E7E7E2" w:val="clear"/>
            <w:vAlign w:val="center"/>
          </w:tcPr>
          <w:p>
            <w:pPr>
              <w:pStyle w:val="TableContents"/>
              <w:bidi w:val="0"/>
              <w:spacing w:before="0" w:after="283"/>
              <w:jc w:val="right"/>
              <w:rPr/>
            </w:pPr>
            <w:r>
              <w:rPr/>
              <w:t xml:space="preserve">$ 458,850.00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$ 50.57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561" w:type="dxa"/>
            <w:tcBorders/>
            <w:shd w:fill="E7E7E2" w:val="clear"/>
            <w:vAlign w:val="center"/>
          </w:tcPr>
          <w:p>
            <w:pPr>
              <w:pStyle w:val="TableContents"/>
              <w:bidi w:val="0"/>
              <w:spacing w:before="0" w:after="283"/>
              <w:jc w:val="left"/>
              <w:rPr/>
            </w:pPr>
            <w:r>
              <w:rPr/>
              <w:t xml:space="preserve">Ordinary Shares underlying Warrants to be issued to Warrantholders of TETE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11,500,000 </w:t>
            </w:r>
          </w:p>
        </w:tc>
        <w:tc>
          <w:tcPr>
            <w:tcW w:w="1156" w:type="dxa"/>
            <w:tcBorders/>
            <w:shd w:fill="E7E7E2" w:val="clear"/>
            <w:vAlign w:val="center"/>
          </w:tcPr>
          <w:p>
            <w:pPr>
              <w:pStyle w:val="TableContents"/>
              <w:bidi w:val="0"/>
              <w:spacing w:before="0" w:after="283"/>
              <w:jc w:val="right"/>
              <w:rPr/>
            </w:pPr>
            <w:r>
              <w:rPr/>
              <w:t xml:space="preserve">$ 11.50 </w:t>
            </w:r>
          </w:p>
        </w:tc>
        <w:tc>
          <w:tcPr>
            <w:tcW w:w="1786" w:type="dxa"/>
            <w:tcBorders/>
            <w:shd w:fill="E7E7E2" w:val="clear"/>
            <w:vAlign w:val="center"/>
          </w:tcPr>
          <w:p>
            <w:pPr>
              <w:pStyle w:val="TableContents"/>
              <w:bidi w:val="0"/>
              <w:spacing w:before="0" w:after="283"/>
              <w:jc w:val="right"/>
              <w:rPr/>
            </w:pPr>
            <w:r>
              <w:rPr/>
              <w:t xml:space="preserve">$ 132,250,000.00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$ 14,573.95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5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3,407,500 </w:t>
            </w:r>
          </w:p>
        </w:tc>
        <w:tc>
          <w:tcPr>
            <w:tcW w:w="1156" w:type="dxa"/>
            <w:tcBorders/>
            <w:shd w:fill="E7E7E2" w:val="clear"/>
            <w:vAlign w:val="center"/>
          </w:tcPr>
          <w:p>
            <w:pPr>
              <w:pStyle w:val="TableContents"/>
              <w:bidi w:val="0"/>
              <w:spacing w:before="0" w:after="283"/>
              <w:jc w:val="right"/>
              <w:rPr/>
            </w:pPr>
            <w:r>
              <w:rPr/>
              <w:t xml:space="preserve">$ 10.00 </w:t>
            </w:r>
          </w:p>
        </w:tc>
        <w:tc>
          <w:tcPr>
            <w:tcW w:w="1786" w:type="dxa"/>
            <w:tcBorders/>
            <w:shd w:fill="E7E7E2" w:val="clear"/>
            <w:vAlign w:val="center"/>
          </w:tcPr>
          <w:p>
            <w:pPr>
              <w:pStyle w:val="TableContents"/>
              <w:bidi w:val="0"/>
              <w:spacing w:before="0" w:after="283"/>
              <w:jc w:val="right"/>
              <w:rPr/>
            </w:pPr>
            <w:r>
              <w:rPr/>
              <w:t xml:space="preserve">$ 34,075,000.00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$ 5,216.88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5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 w:name="MaxAggtOfferingPrice"/>
            <w:bookmarkEnd w:id="6"/>
            <w:r>
              <w:rPr/>
              <w:t xml:space="preserve">$ 196,550,940.00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 w:name="TotalFeeAmt"/>
            <w:bookmarkEnd w:id="7"/>
            <w:r>
              <w:rPr/>
              <w:t xml:space="preserve">$ 23,121.73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TotalPreviouslyPaidAmt"/>
            <w:bookmarkEnd w:id="8"/>
            <w:r>
              <w:rPr/>
              <w:t xml:space="preserve">$ 23,121.73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9" w:name="TotalOffsetAmt"/>
            <w:bookmarkEnd w:id="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0" w:name="NetFeeAmt"/>
            <w:bookmarkEnd w:id="1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1"/>
        <w:gridCol w:w="1292"/>
        <w:gridCol w:w="8702"/>
      </w:tblGrid>
      <w:tr>
        <w:trPr/>
        <w:tc>
          <w:tcPr>
            <w:tcW w:w="21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4"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Calculated pursuant to Rule 457 by multiplying the proposed maximum aggregate offering price of securities to be registered by the fee rate.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4"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Calculated pursuant to Rule 457 by multiplying the proposed maximum aggregate offering price of securities to be registered by the fee rate.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4"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Calculated pursuant to Rule 457 by multiplying the proposed maximum aggregate offering price of securities to be registered by the fee rate.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4"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Calculated pursuant to Rule 457 by multiplying the proposed maximum aggregate offering price of securities to be registered by the fee rate.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0679/000149315225003656/ex3-1.htm" TargetMode="External"/><Relationship Id="rId3" Type="http://schemas.openxmlformats.org/officeDocument/2006/relationships/hyperlink" Target="https://www.sec.gov/Archives/edgar/data/1986694/000149315223026468/ex3-2.htm" TargetMode="External"/><Relationship Id="rId4" Type="http://schemas.openxmlformats.org/officeDocument/2006/relationships/hyperlink" Target="https://www.sec.gov/Archives/edgar/data/1986694/000149315223026468/ex3-3.htm" TargetMode="External"/><Relationship Id="rId5" Type="http://schemas.openxmlformats.org/officeDocument/2006/relationships/hyperlink" Target="https://www.sec.gov/Archives/edgar/data/1900679/000149315222000719/ex4-1.htm" TargetMode="External"/><Relationship Id="rId6" Type="http://schemas.openxmlformats.org/officeDocument/2006/relationships/hyperlink" Target="https://www.sec.gov/Archives/edgar/data/1900679/000149315222000719/ex4-2.htm" TargetMode="External"/><Relationship Id="rId7" Type="http://schemas.openxmlformats.org/officeDocument/2006/relationships/hyperlink" Target="https://www.sec.gov/Archives/edgar/data/1900679/000149315222000719/ex4-3.htm" TargetMode="External"/><Relationship Id="rId8" Type="http://schemas.openxmlformats.org/officeDocument/2006/relationships/hyperlink" Target="https://www.sec.gov/Archives/edgar/data/1900679/000149315222002015/ex4-4.htm" TargetMode="External"/><Relationship Id="rId9" Type="http://schemas.openxmlformats.org/officeDocument/2006/relationships/hyperlink" Target="https://www.sec.gov/Archives/edgar/data/1986694/000149315224011801/ex4-8.htm" TargetMode="External"/><Relationship Id="rId10" Type="http://schemas.openxmlformats.org/officeDocument/2006/relationships/hyperlink" Target="https://www.sec.gov/Archives/edgar/data/1986694/000149315226008666/ex5-1.htm" TargetMode="External"/><Relationship Id="rId11" Type="http://schemas.openxmlformats.org/officeDocument/2006/relationships/hyperlink" Target="https://www.sec.gov/Archives/edgar/data/1986694/000149315226008666/ex8-1.htm" TargetMode="External"/><Relationship Id="rId12" Type="http://schemas.openxmlformats.org/officeDocument/2006/relationships/hyperlink" Target="https://www.sec.gov/Archives/edgar/data/1900679/000149315222002015/ex10-4.htm" TargetMode="External"/><Relationship Id="rId13" Type="http://schemas.openxmlformats.org/officeDocument/2006/relationships/hyperlink" Target="https://www.sec.gov/Archives/edgar/data/1900679/000149315222002015/ex10-1.htm" TargetMode="External"/><Relationship Id="rId14" Type="http://schemas.openxmlformats.org/officeDocument/2006/relationships/hyperlink" Target="https://www.sec.gov/Archives/edgar/data/1900679/000149315222002015/ex10-3.htm" TargetMode="External"/><Relationship Id="rId15" Type="http://schemas.openxmlformats.org/officeDocument/2006/relationships/hyperlink" Target="https://www.sec.gov/Archives/edgar/data/1900679/000149315222002015/ex10-2.htm" TargetMode="External"/><Relationship Id="rId16" Type="http://schemas.openxmlformats.org/officeDocument/2006/relationships/hyperlink" Target="https://www.sec.gov/Archives/edgar/data/1986694/000149315224002939/ex10-5.htm" TargetMode="External"/><Relationship Id="rId17" Type="http://schemas.openxmlformats.org/officeDocument/2006/relationships/hyperlink" Target="https://www.sec.gov/Archives/edgar/data/1986694/000149315224002939/ex10-6.htm" TargetMode="External"/><Relationship Id="rId18" Type="http://schemas.openxmlformats.org/officeDocument/2006/relationships/hyperlink" Target="https://www.sec.gov/Archives/edgar/data/1900679/000149315222028867/ex10-3.htm" TargetMode="External"/><Relationship Id="rId19" Type="http://schemas.openxmlformats.org/officeDocument/2006/relationships/hyperlink" Target="https://www.sec.gov/Archives/edgar/data/1900679/000149315222028867/ex10-4.htm" TargetMode="External"/><Relationship Id="rId20" Type="http://schemas.openxmlformats.org/officeDocument/2006/relationships/hyperlink" Target="https://www.sec.gov/Archives/edgar/data/1900679/000149315222028867/ex10-5.htm" TargetMode="External"/><Relationship Id="rId21" Type="http://schemas.openxmlformats.org/officeDocument/2006/relationships/hyperlink" Target="https://www.sec.gov/Archives/edgar/data/1900679/000149315222028867/ex10-6.htm" TargetMode="External"/><Relationship Id="rId22" Type="http://schemas.openxmlformats.org/officeDocument/2006/relationships/hyperlink" Target="https://www.sec.gov/Archives/edgar/data/1986694/000149315224002939/ex10-11.htm" TargetMode="External"/><Relationship Id="rId23" Type="http://schemas.openxmlformats.org/officeDocument/2006/relationships/hyperlink" Target="https://www.sec.gov/Archives/edgar/data/1986694/000149315224002939/ex10-12.htm" TargetMode="External"/><Relationship Id="rId24" Type="http://schemas.openxmlformats.org/officeDocument/2006/relationships/hyperlink" Target="https://www.sec.gov/Archives/edgar/data/1986694/000149315224002939/ex10-13.htm" TargetMode="External"/><Relationship Id="rId25" Type="http://schemas.openxmlformats.org/officeDocument/2006/relationships/hyperlink" Target="https://www.sec.gov/Archives/edgar/data/1986694/000149315224002939/ex10-14.htm" TargetMode="External"/><Relationship Id="rId26" Type="http://schemas.openxmlformats.org/officeDocument/2006/relationships/hyperlink" Target="https://www.sec.gov/Archives/edgar/data/1986694/000149315224008298/ex10-15.htm" TargetMode="External"/><Relationship Id="rId27" Type="http://schemas.openxmlformats.org/officeDocument/2006/relationships/hyperlink" Target="https://www.sec.gov/Archives/edgar/data/1986694/000149315224008298/ex10-16.htm" TargetMode="External"/><Relationship Id="rId28" Type="http://schemas.openxmlformats.org/officeDocument/2006/relationships/hyperlink" Target="https://www.sec.gov/Archives/edgar/data/1986694/000149315224008298/ex10-17.htm" TargetMode="External"/><Relationship Id="rId29" Type="http://schemas.openxmlformats.org/officeDocument/2006/relationships/hyperlink" Target="https://www.sec.gov/Archives/edgar/data/1986694/000149315224008298/ex10-18.htm" TargetMode="External"/><Relationship Id="rId30" Type="http://schemas.openxmlformats.org/officeDocument/2006/relationships/hyperlink" Target="https://www.sec.gov/Archives/edgar/data/1900679/000149315225003656/ex10-1.htm" TargetMode="External"/><Relationship Id="rId31" Type="http://schemas.openxmlformats.org/officeDocument/2006/relationships/hyperlink" Target="https://www.sec.gov/Archives/edgar/data/1900679/000149315225003656/ex10-2.htm" TargetMode="External"/><Relationship Id="rId32" Type="http://schemas.openxmlformats.org/officeDocument/2006/relationships/hyperlink" Target="https://www.sec.gov/Archives/edgar/data/1900679/000164117225004945/ex10-1.htm" TargetMode="External"/><Relationship Id="rId33" Type="http://schemas.openxmlformats.org/officeDocument/2006/relationships/hyperlink" Target="https://www.sec.gov/Archives/edgar/data/1986694/000149315225025188/ex10-22.htm" TargetMode="External"/><Relationship Id="rId34" Type="http://schemas.openxmlformats.org/officeDocument/2006/relationships/hyperlink" Target="https://www.sec.gov/Archives/edgar/data/1986694/000149315225025188/ex10-23.htm" TargetMode="External"/><Relationship Id="rId35" Type="http://schemas.openxmlformats.org/officeDocument/2006/relationships/hyperlink" Target="https://www.sec.gov/Archives/edgar/data/1986694/000149315225025188/ex10-24.htm" TargetMode="External"/><Relationship Id="rId36" Type="http://schemas.openxmlformats.org/officeDocument/2006/relationships/hyperlink" Target="https://www.sec.gov/Archives/edgar/data/1986694/000149315225025188/ex10-25.htm" TargetMode="External"/><Relationship Id="rId37" Type="http://schemas.openxmlformats.org/officeDocument/2006/relationships/hyperlink" Target="https://www.sec.gov/Archives/edgar/data/1900679/000149315222000719/ex14.htm" TargetMode="External"/><Relationship Id="rId38" Type="http://schemas.openxmlformats.org/officeDocument/2006/relationships/hyperlink" Target="https://www.sec.gov/Archives/edgar/data/1986694/000149315226009397/ex23-1.htm" TargetMode="External"/><Relationship Id="rId39" Type="http://schemas.openxmlformats.org/officeDocument/2006/relationships/hyperlink" Target="https://www.sec.gov/Archives/edgar/data/1986694/000149315226009397/ex23-2.htm" TargetMode="External"/><Relationship Id="rId40" Type="http://schemas.openxmlformats.org/officeDocument/2006/relationships/hyperlink" Target="https://www.sec.gov/Archives/edgar/data/1986694/000149315226009397/ex23-3.htm" TargetMode="External"/><Relationship Id="rId41" Type="http://schemas.openxmlformats.org/officeDocument/2006/relationships/hyperlink" Target="https://www.sec.gov/Archives/edgar/data/1986694/000149315226008666/ex5-1.htm" TargetMode="External"/><Relationship Id="rId42" Type="http://schemas.openxmlformats.org/officeDocument/2006/relationships/hyperlink" Target="https://www.sec.gov/Archives/edgar/data/1986694/000149315226008666/ex8-1.htm" TargetMode="External"/><Relationship Id="rId43" Type="http://schemas.openxmlformats.org/officeDocument/2006/relationships/hyperlink" Target="https://www.sec.gov/Archives/edgar/data/1986694/000149315224011801/ex99-1.htm" TargetMode="External"/><Relationship Id="rId44" Type="http://schemas.openxmlformats.org/officeDocument/2006/relationships/hyperlink" Target="https://www.sec.gov/Archives/edgar/data/1986694/000149315224011801/ex99-2.htm" TargetMode="External"/><Relationship Id="rId45" Type="http://schemas.openxmlformats.org/officeDocument/2006/relationships/hyperlink" Target="https://www.sec.gov/Archives/edgar/data/1986694/000149315224011801/ex99-3.htm" TargetMode="External"/><Relationship Id="rId46" Type="http://schemas.openxmlformats.org/officeDocument/2006/relationships/hyperlink" Target="https://www.sec.gov/Archives/edgar/data/1986694/000149315224011801/ex99-4.htm" TargetMode="External"/><Relationship Id="rId47" Type="http://schemas.openxmlformats.org/officeDocument/2006/relationships/hyperlink" Target="https://www.sec.gov/Archives/edgar/data/1986694/000149315224011801/ex99-5.htm" TargetMode="External"/><Relationship Id="rId48" Type="http://schemas.openxmlformats.org/officeDocument/2006/relationships/hyperlink" Target="https://www.sec.gov/Archives/edgar/data/1986694/000149315226009397/ex99-6.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3672</Words>
  <Characters>20250</Characters>
  <CharactersWithSpaces>23884</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